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9D" w:rsidRDefault="00C7069D" w:rsidP="00C7069D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1EA01E8" wp14:editId="39581918">
            <wp:simplePos x="0" y="0"/>
            <wp:positionH relativeFrom="column">
              <wp:posOffset>-855532</wp:posOffset>
            </wp:positionH>
            <wp:positionV relativeFrom="paragraph">
              <wp:posOffset>-896056</wp:posOffset>
            </wp:positionV>
            <wp:extent cx="7553325" cy="2926080"/>
            <wp:effectExtent l="0" t="0" r="9525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177491_1966804750068627_4555505024402194432_n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349"/>
                    <a:stretch/>
                  </pic:blipFill>
                  <pic:spPr bwMode="auto">
                    <a:xfrm>
                      <a:off x="0" y="0"/>
                      <a:ext cx="7553325" cy="2926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69D" w:rsidRDefault="00C7069D" w:rsidP="00C7069D">
      <w:pPr>
        <w:spacing w:after="0" w:line="240" w:lineRule="auto"/>
      </w:pPr>
    </w:p>
    <w:p w:rsidR="00C7069D" w:rsidRDefault="00C7069D" w:rsidP="00C7069D">
      <w:pPr>
        <w:spacing w:after="0" w:line="240" w:lineRule="auto"/>
      </w:pPr>
    </w:p>
    <w:p w:rsidR="00C7069D" w:rsidRDefault="00C7069D" w:rsidP="00C7069D">
      <w:pPr>
        <w:spacing w:after="0" w:line="240" w:lineRule="auto"/>
      </w:pPr>
    </w:p>
    <w:p w:rsidR="00C7069D" w:rsidRDefault="00C7069D" w:rsidP="00C7069D">
      <w:pPr>
        <w:spacing w:after="0" w:line="240" w:lineRule="auto"/>
      </w:pPr>
    </w:p>
    <w:p w:rsidR="00C7069D" w:rsidRDefault="00C7069D" w:rsidP="00C7069D">
      <w:pPr>
        <w:spacing w:after="0" w:line="240" w:lineRule="auto"/>
      </w:pPr>
    </w:p>
    <w:p w:rsidR="00C7069D" w:rsidRDefault="00C7069D" w:rsidP="00C7069D">
      <w:pPr>
        <w:spacing w:after="0" w:line="240" w:lineRule="auto"/>
      </w:pPr>
    </w:p>
    <w:p w:rsidR="00C7069D" w:rsidRDefault="00C7069D" w:rsidP="00C7069D">
      <w:pPr>
        <w:spacing w:after="0" w:line="240" w:lineRule="auto"/>
      </w:pPr>
    </w:p>
    <w:p w:rsidR="00C7069D" w:rsidRDefault="00C7069D" w:rsidP="00C7069D">
      <w:pPr>
        <w:spacing w:after="0" w:line="240" w:lineRule="auto"/>
      </w:pPr>
    </w:p>
    <w:p w:rsidR="00C7069D" w:rsidRDefault="00C7069D" w:rsidP="00C7069D">
      <w:pPr>
        <w:spacing w:after="0" w:line="240" w:lineRule="auto"/>
      </w:pPr>
    </w:p>
    <w:p w:rsidR="00C7069D" w:rsidRDefault="00C7069D" w:rsidP="00C7069D">
      <w:pPr>
        <w:spacing w:after="0" w:line="240" w:lineRule="auto"/>
      </w:pPr>
    </w:p>
    <w:p w:rsidR="00C7069D" w:rsidRDefault="00C7069D" w:rsidP="00C7069D">
      <w:pPr>
        <w:spacing w:after="0" w:line="240" w:lineRule="auto"/>
      </w:pPr>
    </w:p>
    <w:p w:rsidR="00C7069D" w:rsidRDefault="00C7069D" w:rsidP="00C7069D">
      <w:pPr>
        <w:spacing w:after="0" w:line="240" w:lineRule="auto"/>
      </w:pPr>
    </w:p>
    <w:p w:rsidR="003D29B4" w:rsidRPr="00A344DC" w:rsidRDefault="003D29B4" w:rsidP="003D29B4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UNE FORMATION COMMUNE </w:t>
      </w:r>
      <w:r w:rsidR="007C1E00">
        <w:rPr>
          <w:b/>
          <w:sz w:val="52"/>
          <w:szCs w:val="52"/>
        </w:rPr>
        <w:t>A TOUS</w:t>
      </w:r>
      <w:r>
        <w:rPr>
          <w:b/>
          <w:sz w:val="52"/>
          <w:szCs w:val="52"/>
        </w:rPr>
        <w:t xml:space="preserve"> LES PROGRAMMES INTERREG DES ANTILLES-GUYANE</w:t>
      </w:r>
    </w:p>
    <w:p w:rsidR="00C7069D" w:rsidRPr="00C7069D" w:rsidRDefault="00F75B12" w:rsidP="00C70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62336" behindDoc="1" locked="0" layoutInCell="1" allowOverlap="1" wp14:anchorId="61E24E1C" wp14:editId="41DB695B">
            <wp:simplePos x="0" y="0"/>
            <wp:positionH relativeFrom="column">
              <wp:posOffset>-28575</wp:posOffset>
            </wp:positionH>
            <wp:positionV relativeFrom="paragraph">
              <wp:posOffset>1141095</wp:posOffset>
            </wp:positionV>
            <wp:extent cx="5979795" cy="2957830"/>
            <wp:effectExtent l="0" t="0" r="1905" b="0"/>
            <wp:wrapTight wrapText="bothSides">
              <wp:wrapPolygon edited="0">
                <wp:start x="0" y="0"/>
                <wp:lineTo x="0" y="21424"/>
                <wp:lineTo x="21538" y="21424"/>
                <wp:lineTo x="21538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030-WA001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9795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252" w:rsidRPr="000F528C">
        <w:rPr>
          <w:rFonts w:ascii="Times New Roman" w:eastAsia="Times New Roman" w:hAnsi="Times New Roman" w:cs="Times New Roman"/>
          <w:sz w:val="24"/>
          <w:szCs w:val="24"/>
          <w:lang w:eastAsia="fr-FR"/>
        </w:rPr>
        <w:t>Du 29 Octobre au 1</w:t>
      </w:r>
      <w:r w:rsidR="00957252" w:rsidRPr="00DB6C2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er</w:t>
      </w:r>
      <w:r w:rsidR="009572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57252" w:rsidRPr="000F52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Novembre 2018, les </w:t>
      </w:r>
      <w:r w:rsidR="00957252">
        <w:rPr>
          <w:rFonts w:ascii="Times New Roman" w:eastAsia="Times New Roman" w:hAnsi="Times New Roman" w:cs="Times New Roman"/>
          <w:sz w:val="24"/>
          <w:szCs w:val="24"/>
          <w:lang w:eastAsia="fr-FR"/>
        </w:rPr>
        <w:t>techniciens des</w:t>
      </w:r>
      <w:r w:rsidR="00957252" w:rsidRPr="000F52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programme</w:t>
      </w:r>
      <w:r w:rsidR="00957252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957252" w:rsidRPr="000F52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Interreg Caraïbes</w:t>
      </w:r>
      <w:r w:rsidR="00957252">
        <w:rPr>
          <w:rFonts w:ascii="Times New Roman" w:eastAsia="Times New Roman" w:hAnsi="Times New Roman" w:cs="Times New Roman"/>
          <w:sz w:val="24"/>
          <w:szCs w:val="24"/>
          <w:lang w:eastAsia="fr-FR"/>
        </w:rPr>
        <w:t>, Interreg Amazonie et Interreg Saint-Martin/Sint-</w:t>
      </w:r>
      <w:proofErr w:type="spellStart"/>
      <w:r w:rsidR="00957252">
        <w:rPr>
          <w:rFonts w:ascii="Times New Roman" w:eastAsia="Times New Roman" w:hAnsi="Times New Roman" w:cs="Times New Roman"/>
          <w:sz w:val="24"/>
          <w:szCs w:val="24"/>
          <w:lang w:eastAsia="fr-FR"/>
        </w:rPr>
        <w:t>Marteen</w:t>
      </w:r>
      <w:proofErr w:type="spellEnd"/>
      <w:r w:rsidR="00957252" w:rsidRPr="000F52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 sont </w:t>
      </w:r>
      <w:r w:rsidR="007C1E00">
        <w:rPr>
          <w:rFonts w:ascii="Times New Roman" w:eastAsia="Times New Roman" w:hAnsi="Times New Roman" w:cs="Times New Roman"/>
          <w:sz w:val="24"/>
          <w:szCs w:val="24"/>
          <w:lang w:eastAsia="fr-FR"/>
        </w:rPr>
        <w:t>réunis</w:t>
      </w:r>
      <w:r w:rsidR="00957252" w:rsidRPr="000F52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Guadeloupe</w:t>
      </w:r>
      <w:r w:rsidR="009572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Il s’agissait de la première </w:t>
      </w:r>
      <w:r w:rsidR="007C1E00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957252">
        <w:rPr>
          <w:rFonts w:ascii="Times New Roman" w:eastAsia="Times New Roman" w:hAnsi="Times New Roman" w:cs="Times New Roman"/>
          <w:sz w:val="24"/>
          <w:szCs w:val="24"/>
          <w:lang w:eastAsia="fr-FR"/>
        </w:rPr>
        <w:t>ession de</w:t>
      </w:r>
      <w:r w:rsidR="00957252" w:rsidRPr="000F52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572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formation  organisée de manière conjointe par le Secrétariat conjoint du Programme INTERREG Caraïbes et le programme INTERACT. Durant cette rencontre, il y a eu de nombreux </w:t>
      </w:r>
      <w:r w:rsidR="00957252" w:rsidRPr="000F52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échanges de bonnes pratiques </w:t>
      </w:r>
      <w:r w:rsidR="009572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autour de la gestion et la mise en œuvre des programmes européens</w:t>
      </w:r>
      <w:r w:rsidR="00C7069D" w:rsidRPr="00C7069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F75B12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fr-FR"/>
        </w:rPr>
        <w:t xml:space="preserve"> </w:t>
      </w:r>
    </w:p>
    <w:p w:rsidR="007C1E00" w:rsidRDefault="007C1E00" w:rsidP="007C1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Rendre le</w:t>
      </w:r>
      <w:r w:rsidR="00957252" w:rsidRPr="000F528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="0095725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programme de</w:t>
      </w:r>
      <w:r w:rsidR="00957252" w:rsidRPr="000F528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coopération</w:t>
      </w:r>
      <w:r w:rsidR="0095725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efficient.</w:t>
      </w:r>
    </w:p>
    <w:p w:rsidR="007C1E00" w:rsidRPr="007C1E00" w:rsidRDefault="00957252" w:rsidP="007C1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0F52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Durant ces trois jours, les 20 participants ont pu revoir les bases règlementaires et découvrir les pratiques appliquées au sein d’autres programmes Interreg. En effet, les différents ateliers proposés par </w:t>
      </w:r>
      <w:proofErr w:type="spellStart"/>
      <w:r w:rsidRPr="000F528C">
        <w:rPr>
          <w:rFonts w:ascii="Times New Roman" w:eastAsia="Times New Roman" w:hAnsi="Times New Roman" w:cs="Times New Roman"/>
          <w:sz w:val="24"/>
          <w:szCs w:val="24"/>
          <w:lang w:eastAsia="fr-FR"/>
        </w:rPr>
        <w:t>Tsveta</w:t>
      </w:r>
      <w:proofErr w:type="spellEnd"/>
      <w:r w:rsidRPr="000F52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F528C">
        <w:rPr>
          <w:rFonts w:ascii="Times New Roman" w:eastAsia="Times New Roman" w:hAnsi="Times New Roman" w:cs="Times New Roman"/>
          <w:sz w:val="24"/>
          <w:szCs w:val="24"/>
          <w:lang w:eastAsia="fr-FR"/>
        </w:rPr>
        <w:t>Aleksandrova</w:t>
      </w:r>
      <w:proofErr w:type="spellEnd"/>
      <w:r w:rsidRPr="000F528C">
        <w:rPr>
          <w:rFonts w:ascii="Times New Roman" w:eastAsia="Times New Roman" w:hAnsi="Times New Roman" w:cs="Times New Roman"/>
          <w:sz w:val="24"/>
          <w:szCs w:val="24"/>
          <w:lang w:eastAsia="fr-FR"/>
        </w:rPr>
        <w:t>- chargée de la gestion du cycle de vie des projets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INTERACT </w:t>
      </w:r>
      <w:r w:rsidRPr="000F528C">
        <w:rPr>
          <w:rFonts w:ascii="Times New Roman" w:eastAsia="Times New Roman" w:hAnsi="Times New Roman" w:cs="Times New Roman"/>
          <w:sz w:val="24"/>
          <w:szCs w:val="24"/>
          <w:lang w:eastAsia="fr-FR"/>
        </w:rPr>
        <w:t>ont permis d’aborder des sujets communs tels que le suivi des indicateurs, l’évaluation de programme,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communication, les aides d’Etat</w:t>
      </w:r>
      <w:r w:rsidRPr="000F52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ainsi que l’éligibilité des dépenses FEDER.</w:t>
      </w:r>
      <w:r w:rsidR="007C1E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</w:p>
    <w:p w:rsidR="007C1E00" w:rsidRDefault="00957252" w:rsidP="007C1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528C">
        <w:rPr>
          <w:rFonts w:ascii="Times New Roman" w:eastAsia="Times New Roman" w:hAnsi="Times New Roman" w:cs="Times New Roman"/>
          <w:sz w:val="24"/>
          <w:szCs w:val="24"/>
          <w:lang w:eastAsia="fr-FR"/>
        </w:rPr>
        <w:t>A ce titre, le Secrétariat Conjoint a présent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Pr="000F52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fonctionnement spécifique de l’articulation FED/FEDER dans la Caraïbes et les avancées en termes de gestion et de coordination avec les porteurs de projets de la programmation 2014-2020.</w:t>
      </w:r>
    </w:p>
    <w:p w:rsidR="007C1E00" w:rsidRDefault="007C1E00" w:rsidP="007C1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C1E00" w:rsidRDefault="007C1E00" w:rsidP="007C1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75B12" w:rsidRPr="007C1E00" w:rsidRDefault="00F75B12" w:rsidP="007C1E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75B12" w:rsidRDefault="007C1E00" w:rsidP="00C706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63360" behindDoc="0" locked="0" layoutInCell="1" allowOverlap="1" wp14:anchorId="16606812" wp14:editId="0B853C54">
            <wp:simplePos x="0" y="0"/>
            <wp:positionH relativeFrom="column">
              <wp:posOffset>-579755</wp:posOffset>
            </wp:positionH>
            <wp:positionV relativeFrom="paragraph">
              <wp:posOffset>-204470</wp:posOffset>
            </wp:positionV>
            <wp:extent cx="3227070" cy="181229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029-WA002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07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64384" behindDoc="0" locked="0" layoutInCell="1" allowOverlap="1" wp14:anchorId="74882E4B" wp14:editId="2764F673">
            <wp:simplePos x="0" y="0"/>
            <wp:positionH relativeFrom="column">
              <wp:posOffset>2786380</wp:posOffset>
            </wp:positionH>
            <wp:positionV relativeFrom="paragraph">
              <wp:posOffset>-150495</wp:posOffset>
            </wp:positionV>
            <wp:extent cx="3215640" cy="1807210"/>
            <wp:effectExtent l="0" t="0" r="3810" b="254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030-WA001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60288" behindDoc="1" locked="0" layoutInCell="1" allowOverlap="1" wp14:anchorId="2CD2BB28" wp14:editId="2B62A91A">
            <wp:simplePos x="0" y="0"/>
            <wp:positionH relativeFrom="column">
              <wp:posOffset>161290</wp:posOffset>
            </wp:positionH>
            <wp:positionV relativeFrom="paragraph">
              <wp:posOffset>-82550</wp:posOffset>
            </wp:positionV>
            <wp:extent cx="5755005" cy="2820670"/>
            <wp:effectExtent l="0" t="0" r="0" b="0"/>
            <wp:wrapTight wrapText="bothSides">
              <wp:wrapPolygon edited="0">
                <wp:start x="0" y="0"/>
                <wp:lineTo x="0" y="21444"/>
                <wp:lineTo x="21521" y="21444"/>
                <wp:lineTo x="21521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030_094503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41"/>
                    <a:stretch/>
                  </pic:blipFill>
                  <pic:spPr bwMode="auto">
                    <a:xfrm>
                      <a:off x="0" y="0"/>
                      <a:ext cx="5755005" cy="2820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B12" w:rsidRDefault="00F75B12" w:rsidP="00C706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F75B12" w:rsidRDefault="00F75B12" w:rsidP="00C706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FD6141" w:rsidRDefault="00FD6141" w:rsidP="00C706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C7069D" w:rsidRPr="00C7069D" w:rsidRDefault="00C7069D" w:rsidP="00C706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C7069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En route pour la capitalisation</w:t>
      </w:r>
    </w:p>
    <w:p w:rsidR="007C1E00" w:rsidRDefault="00957252" w:rsidP="00957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528C">
        <w:rPr>
          <w:rFonts w:ascii="Times New Roman" w:eastAsia="Times New Roman" w:hAnsi="Times New Roman" w:cs="Times New Roman"/>
          <w:sz w:val="24"/>
          <w:szCs w:val="24"/>
          <w:lang w:eastAsia="fr-FR"/>
        </w:rPr>
        <w:t>Cette rencontre, a également une importance stratégique pour la réalisation des chantiers à venir. En outre les participants se sont familiarisés avec les enjeux de la capitalisation des expériences reçues durant les programmations actuelle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0F52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précédentes. </w:t>
      </w:r>
    </w:p>
    <w:p w:rsidR="007C1E00" w:rsidRDefault="007C1E00" w:rsidP="00957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57252" w:rsidRDefault="00957252" w:rsidP="00957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528C">
        <w:rPr>
          <w:rFonts w:ascii="Times New Roman" w:eastAsia="Times New Roman" w:hAnsi="Times New Roman" w:cs="Times New Roman"/>
          <w:sz w:val="24"/>
          <w:szCs w:val="24"/>
          <w:lang w:eastAsia="fr-FR"/>
        </w:rPr>
        <w:t>Ces ateliers ont été menés par le formateur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INTERACT</w:t>
      </w:r>
      <w:r w:rsidRPr="000F52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F528C">
        <w:rPr>
          <w:rFonts w:ascii="Times New Roman" w:eastAsia="Times New Roman" w:hAnsi="Times New Roman" w:cs="Times New Roman"/>
          <w:sz w:val="24"/>
          <w:szCs w:val="24"/>
          <w:lang w:eastAsia="fr-FR"/>
        </w:rPr>
        <w:t>Ivano</w:t>
      </w:r>
      <w:proofErr w:type="spellEnd"/>
      <w:r w:rsidRPr="000F52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F528C">
        <w:rPr>
          <w:rFonts w:ascii="Times New Roman" w:eastAsia="Times New Roman" w:hAnsi="Times New Roman" w:cs="Times New Roman"/>
          <w:sz w:val="24"/>
          <w:szCs w:val="24"/>
          <w:lang w:eastAsia="fr-FR"/>
        </w:rPr>
        <w:t>Magazzù</w:t>
      </w:r>
      <w:proofErr w:type="spellEnd"/>
      <w:r w:rsidRPr="000F52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chargé de la Capitalisation et du développement du territoire, et avaient pour objectif d'identifier les processus de capitalisation. </w:t>
      </w:r>
    </w:p>
    <w:p w:rsidR="00F75B12" w:rsidRDefault="00957252" w:rsidP="00F75B1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 wp14:anchorId="18E356CF" wp14:editId="6485FB18">
            <wp:simplePos x="0" y="0"/>
            <wp:positionH relativeFrom="column">
              <wp:posOffset>30133</wp:posOffset>
            </wp:positionH>
            <wp:positionV relativeFrom="paragraph">
              <wp:posOffset>300616</wp:posOffset>
            </wp:positionV>
            <wp:extent cx="5872480" cy="2298700"/>
            <wp:effectExtent l="0" t="0" r="0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029-WA0015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0" b="27460"/>
                    <a:stretch/>
                  </pic:blipFill>
                  <pic:spPr bwMode="auto">
                    <a:xfrm>
                      <a:off x="0" y="0"/>
                      <a:ext cx="5872480" cy="229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69D" w:rsidRDefault="00C7069D" w:rsidP="00C7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7069D" w:rsidRDefault="00C7069D" w:rsidP="00C7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75B12" w:rsidRDefault="00F75B12" w:rsidP="00C706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957252" w:rsidRDefault="00957252" w:rsidP="00C706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FD6141" w:rsidRDefault="00FD6141" w:rsidP="00C706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FD6141" w:rsidRDefault="00FD6141" w:rsidP="00C706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7C1E00" w:rsidRDefault="007C1E00" w:rsidP="00C706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C7069D" w:rsidRDefault="00FD6141" w:rsidP="00C706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27F04D9A" wp14:editId="48DDC2E5">
            <wp:simplePos x="0" y="0"/>
            <wp:positionH relativeFrom="column">
              <wp:posOffset>165100</wp:posOffset>
            </wp:positionH>
            <wp:positionV relativeFrom="paragraph">
              <wp:posOffset>510540</wp:posOffset>
            </wp:positionV>
            <wp:extent cx="5808980" cy="2716530"/>
            <wp:effectExtent l="0" t="0" r="1270" b="762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031-WA0018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631"/>
                    <a:stretch/>
                  </pic:blipFill>
                  <pic:spPr bwMode="auto">
                    <a:xfrm>
                      <a:off x="0" y="0"/>
                      <a:ext cx="5808980" cy="2716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B1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Z</w:t>
      </w:r>
      <w:r w:rsidR="00C7069D" w:rsidRPr="00C7069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oom sur le projet CARIFORT</w:t>
      </w:r>
      <w:r w:rsidR="00AB1C8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 : </w:t>
      </w:r>
      <w:r w:rsidR="00AB1C8D" w:rsidRPr="00AB1C8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Réseau des Forts de la Caraïbes</w:t>
      </w:r>
    </w:p>
    <w:p w:rsidR="004569D6" w:rsidRDefault="004569D6" w:rsidP="004569D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69D6" w:rsidRDefault="004569D6" w:rsidP="004569D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69D6" w:rsidRDefault="004569D6" w:rsidP="004569D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69D6" w:rsidRDefault="004569D6" w:rsidP="004569D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69D6" w:rsidRDefault="004569D6" w:rsidP="004569D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69D6" w:rsidRDefault="004569D6" w:rsidP="004569D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69D6" w:rsidRDefault="004569D6" w:rsidP="004569D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69D6" w:rsidRDefault="004569D6" w:rsidP="004569D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69D6" w:rsidRDefault="004569D6" w:rsidP="004569D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69D6" w:rsidRDefault="004569D6" w:rsidP="004569D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69D6" w:rsidRDefault="004569D6" w:rsidP="004569D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69D6" w:rsidRDefault="004569D6" w:rsidP="004569D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69D6" w:rsidRDefault="004569D6" w:rsidP="004569D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69D6" w:rsidRDefault="004569D6" w:rsidP="00456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825AD" w:rsidRDefault="00F825AD" w:rsidP="004569D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57252" w:rsidRPr="000F528C" w:rsidRDefault="00957252" w:rsidP="00957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52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formation s’est clôturée par la visite du Fort Fleur d’Épée du projet INTERREG Caraïbes CARIFORT où les </w:t>
      </w:r>
      <w:r w:rsidR="00A45CE6">
        <w:rPr>
          <w:rFonts w:ascii="Times New Roman" w:eastAsia="Times New Roman" w:hAnsi="Times New Roman" w:cs="Times New Roman"/>
          <w:sz w:val="24"/>
          <w:szCs w:val="24"/>
          <w:lang w:eastAsia="fr-FR"/>
        </w:rPr>
        <w:t>représentants des Programmes Interreg Antilles-Guyane</w:t>
      </w:r>
      <w:r w:rsidRPr="000F52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ont été reçus par le conseil Départemental, chef de file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0F52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 projet, avant de découvrir l’un des sites historiques les plus emblématiques de la Caraïbes. </w:t>
      </w:r>
    </w:p>
    <w:p w:rsidR="004569D6" w:rsidRDefault="00957252" w:rsidP="004569D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8480" behindDoc="0" locked="0" layoutInCell="1" allowOverlap="1" wp14:anchorId="2925BFE3" wp14:editId="283F1F5D">
            <wp:simplePos x="0" y="0"/>
            <wp:positionH relativeFrom="column">
              <wp:posOffset>-159385</wp:posOffset>
            </wp:positionH>
            <wp:positionV relativeFrom="paragraph">
              <wp:posOffset>149225</wp:posOffset>
            </wp:positionV>
            <wp:extent cx="1936115" cy="955040"/>
            <wp:effectExtent l="0" t="0" r="6985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IFORTS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C8D" w:rsidRDefault="00AB1C8D" w:rsidP="004569D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B1C8D">
        <w:rPr>
          <w:rFonts w:ascii="Times New Roman" w:eastAsia="Times New Roman" w:hAnsi="Times New Roman" w:cs="Times New Roman"/>
          <w:sz w:val="24"/>
          <w:szCs w:val="24"/>
          <w:lang w:eastAsia="fr-FR"/>
        </w:rPr>
        <w:t>Ce projet de mise en réseau des forts concerne l’ensemble des îles de la Caraïbe, de Cuba à Trinidad, et sera progressivement étendu à tous les territoires qui souhaitent y adhérer.</w:t>
      </w:r>
      <w:r w:rsidR="004569D6" w:rsidRPr="004569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569D6" w:rsidRPr="00AB1C8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travers ce réseau, il s’agit de donner à la culture caribéenne une vraie dimension économique en </w:t>
      </w:r>
      <w:r w:rsidR="00A45CE6">
        <w:rPr>
          <w:rFonts w:ascii="Times New Roman" w:eastAsia="Times New Roman" w:hAnsi="Times New Roman" w:cs="Times New Roman"/>
          <w:sz w:val="24"/>
          <w:szCs w:val="24"/>
          <w:lang w:eastAsia="fr-FR"/>
        </w:rPr>
        <w:t>renforçant son attractivité</w:t>
      </w:r>
      <w:r w:rsidR="004569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569D6" w:rsidRPr="00C7069D" w:rsidRDefault="004569D6" w:rsidP="004569D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AB1C8D" w:rsidRDefault="00AB1C8D" w:rsidP="00AB1C8D">
      <w:pPr>
        <w:rPr>
          <w:b/>
        </w:rPr>
      </w:pPr>
      <w:r>
        <w:rPr>
          <w:b/>
        </w:rPr>
        <w:lastRenderedPageBreak/>
        <w:t xml:space="preserve">OBJECTIFS : </w:t>
      </w:r>
    </w:p>
    <w:p w:rsidR="007925CA" w:rsidRPr="00AB1C8D" w:rsidRDefault="00992C55" w:rsidP="00957252">
      <w:pPr>
        <w:numPr>
          <w:ilvl w:val="1"/>
          <w:numId w:val="1"/>
        </w:numPr>
        <w:spacing w:after="0" w:line="240" w:lineRule="auto"/>
        <w:ind w:left="1434" w:hanging="357"/>
        <w:rPr>
          <w:b/>
        </w:rPr>
      </w:pPr>
      <w:r w:rsidRPr="00AB1C8D">
        <w:rPr>
          <w:b/>
        </w:rPr>
        <w:t>L’extension du réseau vers d’autres partenaires caribéens.</w:t>
      </w:r>
    </w:p>
    <w:p w:rsidR="007925CA" w:rsidRPr="00AB1C8D" w:rsidRDefault="00992C55" w:rsidP="00957252">
      <w:pPr>
        <w:numPr>
          <w:ilvl w:val="1"/>
          <w:numId w:val="1"/>
        </w:numPr>
        <w:spacing w:after="0" w:line="240" w:lineRule="auto"/>
        <w:ind w:left="1434" w:hanging="357"/>
        <w:rPr>
          <w:b/>
        </w:rPr>
      </w:pPr>
      <w:r w:rsidRPr="00AB1C8D">
        <w:rPr>
          <w:b/>
        </w:rPr>
        <w:t xml:space="preserve">La demande de classement du réseau des forts caribéens au patrimoine mondial de l’Unesco (El </w:t>
      </w:r>
      <w:proofErr w:type="spellStart"/>
      <w:r w:rsidRPr="00AB1C8D">
        <w:rPr>
          <w:b/>
        </w:rPr>
        <w:t>Morro</w:t>
      </w:r>
      <w:proofErr w:type="spellEnd"/>
      <w:r w:rsidRPr="00AB1C8D">
        <w:rPr>
          <w:b/>
        </w:rPr>
        <w:t xml:space="preserve"> à Porto Rico et </w:t>
      </w:r>
      <w:proofErr w:type="spellStart"/>
      <w:r w:rsidRPr="00AB1C8D">
        <w:rPr>
          <w:b/>
        </w:rPr>
        <w:t>Brimstone</w:t>
      </w:r>
      <w:proofErr w:type="spellEnd"/>
      <w:r w:rsidRPr="00AB1C8D">
        <w:rPr>
          <w:b/>
        </w:rPr>
        <w:t xml:space="preserve"> Hill à St </w:t>
      </w:r>
      <w:proofErr w:type="spellStart"/>
      <w:r w:rsidRPr="00AB1C8D">
        <w:rPr>
          <w:b/>
        </w:rPr>
        <w:t>Kitts</w:t>
      </w:r>
      <w:proofErr w:type="spellEnd"/>
      <w:r w:rsidRPr="00AB1C8D">
        <w:rPr>
          <w:b/>
        </w:rPr>
        <w:t xml:space="preserve"> le sont déjà</w:t>
      </w:r>
      <w:proofErr w:type="gramStart"/>
      <w:r w:rsidRPr="00AB1C8D">
        <w:rPr>
          <w:b/>
        </w:rPr>
        <w:t>) .</w:t>
      </w:r>
      <w:proofErr w:type="gramEnd"/>
    </w:p>
    <w:p w:rsidR="007925CA" w:rsidRPr="00AB1C8D" w:rsidRDefault="00992C55" w:rsidP="00957252">
      <w:pPr>
        <w:numPr>
          <w:ilvl w:val="1"/>
          <w:numId w:val="1"/>
        </w:numPr>
        <w:spacing w:after="0" w:line="240" w:lineRule="auto"/>
        <w:ind w:left="1434" w:hanging="357"/>
        <w:rPr>
          <w:b/>
        </w:rPr>
      </w:pPr>
      <w:r w:rsidRPr="00AB1C8D">
        <w:rPr>
          <w:b/>
        </w:rPr>
        <w:t>Le partage d’expériences, conseils et expertises pour la restauration du bâti.</w:t>
      </w:r>
    </w:p>
    <w:p w:rsidR="007925CA" w:rsidRPr="00AB1C8D" w:rsidRDefault="00992C55" w:rsidP="00957252">
      <w:pPr>
        <w:numPr>
          <w:ilvl w:val="1"/>
          <w:numId w:val="1"/>
        </w:numPr>
        <w:spacing w:after="0" w:line="240" w:lineRule="auto"/>
        <w:ind w:left="1434" w:hanging="357"/>
        <w:rPr>
          <w:b/>
        </w:rPr>
      </w:pPr>
      <w:r w:rsidRPr="00AB1C8D">
        <w:rPr>
          <w:b/>
        </w:rPr>
        <w:t>La formation de professionnels de la restauration sur les techniques anciennes.</w:t>
      </w:r>
    </w:p>
    <w:p w:rsidR="007925CA" w:rsidRPr="00AB1C8D" w:rsidRDefault="00992C55" w:rsidP="00957252">
      <w:pPr>
        <w:numPr>
          <w:ilvl w:val="1"/>
          <w:numId w:val="1"/>
        </w:numPr>
        <w:spacing w:after="0" w:line="240" w:lineRule="auto"/>
        <w:ind w:left="1434" w:hanging="357"/>
        <w:rPr>
          <w:b/>
        </w:rPr>
      </w:pPr>
      <w:r w:rsidRPr="00AB1C8D">
        <w:rPr>
          <w:b/>
        </w:rPr>
        <w:t>La formation de professionnels pour la médiation grand public, dans le partage des savoir-faire et expériences des partenaires.</w:t>
      </w:r>
    </w:p>
    <w:p w:rsidR="007925CA" w:rsidRPr="00AB1C8D" w:rsidRDefault="00992C55" w:rsidP="00957252">
      <w:pPr>
        <w:numPr>
          <w:ilvl w:val="1"/>
          <w:numId w:val="1"/>
        </w:numPr>
        <w:spacing w:after="0" w:line="240" w:lineRule="auto"/>
        <w:ind w:left="1434" w:hanging="357"/>
        <w:rPr>
          <w:b/>
        </w:rPr>
      </w:pPr>
      <w:r w:rsidRPr="00AB1C8D">
        <w:rPr>
          <w:b/>
        </w:rPr>
        <w:t>Une recherche historique et scientifique partagée.</w:t>
      </w:r>
    </w:p>
    <w:p w:rsidR="002F3FCB" w:rsidRPr="00957252" w:rsidRDefault="00992C55" w:rsidP="002F3FCB">
      <w:pPr>
        <w:numPr>
          <w:ilvl w:val="1"/>
          <w:numId w:val="1"/>
        </w:numPr>
        <w:spacing w:after="0" w:line="240" w:lineRule="auto"/>
        <w:ind w:left="1434" w:hanging="357"/>
        <w:rPr>
          <w:b/>
        </w:rPr>
      </w:pPr>
      <w:r w:rsidRPr="00AB1C8D">
        <w:rPr>
          <w:b/>
        </w:rPr>
        <w:t xml:space="preserve">L’encouragement à la mise en place de trafic maritime type ferries entre les îles </w:t>
      </w:r>
      <w:proofErr w:type="gramStart"/>
      <w:r w:rsidRPr="00AB1C8D">
        <w:rPr>
          <w:b/>
        </w:rPr>
        <w:t>de la</w:t>
      </w:r>
      <w:proofErr w:type="gramEnd"/>
      <w:r w:rsidRPr="00AB1C8D">
        <w:rPr>
          <w:b/>
        </w:rPr>
        <w:t xml:space="preserve"> caraïbe.</w:t>
      </w:r>
    </w:p>
    <w:p w:rsidR="002F3FCB" w:rsidRDefault="002F3FCB" w:rsidP="002F3FCB">
      <w:pPr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18A2F998" wp14:editId="3F4E08A5">
            <wp:simplePos x="0" y="0"/>
            <wp:positionH relativeFrom="column">
              <wp:posOffset>2788285</wp:posOffset>
            </wp:positionH>
            <wp:positionV relativeFrom="paragraph">
              <wp:posOffset>41275</wp:posOffset>
            </wp:positionV>
            <wp:extent cx="3173095" cy="2396490"/>
            <wp:effectExtent l="0" t="0" r="8255" b="381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031-WA0019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095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2FAE8646" wp14:editId="5561E739">
            <wp:simplePos x="0" y="0"/>
            <wp:positionH relativeFrom="column">
              <wp:posOffset>-466725</wp:posOffset>
            </wp:positionH>
            <wp:positionV relativeFrom="paragraph">
              <wp:posOffset>38735</wp:posOffset>
            </wp:positionV>
            <wp:extent cx="3205480" cy="240411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031-WA0020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480" cy="240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FCB" w:rsidRPr="00AB1C8D" w:rsidRDefault="002F3FCB" w:rsidP="002F3FCB">
      <w:pPr>
        <w:rPr>
          <w:b/>
        </w:rPr>
      </w:pPr>
    </w:p>
    <w:p w:rsidR="00C7069D" w:rsidRPr="00C7069D" w:rsidRDefault="00C7069D">
      <w:pPr>
        <w:rPr>
          <w:b/>
        </w:rPr>
      </w:pPr>
    </w:p>
    <w:sectPr w:rsidR="00C7069D" w:rsidRPr="00C7069D" w:rsidSect="007C1E00">
      <w:pgSz w:w="11906" w:h="16838"/>
      <w:pgMar w:top="851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C55" w:rsidRDefault="00992C55" w:rsidP="00F75B12">
      <w:pPr>
        <w:spacing w:after="0" w:line="240" w:lineRule="auto"/>
      </w:pPr>
      <w:r>
        <w:separator/>
      </w:r>
    </w:p>
  </w:endnote>
  <w:endnote w:type="continuationSeparator" w:id="0">
    <w:p w:rsidR="00992C55" w:rsidRDefault="00992C55" w:rsidP="00F75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C55" w:rsidRDefault="00992C55" w:rsidP="00F75B12">
      <w:pPr>
        <w:spacing w:after="0" w:line="240" w:lineRule="auto"/>
      </w:pPr>
      <w:r>
        <w:separator/>
      </w:r>
    </w:p>
  </w:footnote>
  <w:footnote w:type="continuationSeparator" w:id="0">
    <w:p w:rsidR="00992C55" w:rsidRDefault="00992C55" w:rsidP="00F75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35723"/>
    <w:multiLevelType w:val="hybridMultilevel"/>
    <w:tmpl w:val="4402641E"/>
    <w:lvl w:ilvl="0" w:tplc="533455E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CCB20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2458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AC31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F4D90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365AD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0A126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C854B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FA720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9D"/>
    <w:rsid w:val="00280327"/>
    <w:rsid w:val="002F3FCB"/>
    <w:rsid w:val="003D29B4"/>
    <w:rsid w:val="004569D6"/>
    <w:rsid w:val="0061346C"/>
    <w:rsid w:val="007925CA"/>
    <w:rsid w:val="007C1E00"/>
    <w:rsid w:val="00957252"/>
    <w:rsid w:val="00992C55"/>
    <w:rsid w:val="00A45CE6"/>
    <w:rsid w:val="00AB1C8D"/>
    <w:rsid w:val="00C7069D"/>
    <w:rsid w:val="00F75B12"/>
    <w:rsid w:val="00F825AD"/>
    <w:rsid w:val="00FD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C706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7069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247o">
    <w:name w:val="_247o"/>
    <w:basedOn w:val="Policepardfaut"/>
    <w:rsid w:val="00C7069D"/>
  </w:style>
  <w:style w:type="paragraph" w:styleId="Textedebulles">
    <w:name w:val="Balloon Text"/>
    <w:basedOn w:val="Normal"/>
    <w:link w:val="TextedebullesCar"/>
    <w:uiPriority w:val="99"/>
    <w:semiHidden/>
    <w:unhideWhenUsed/>
    <w:rsid w:val="00C7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069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B1C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75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5B12"/>
  </w:style>
  <w:style w:type="paragraph" w:styleId="Pieddepage">
    <w:name w:val="footer"/>
    <w:basedOn w:val="Normal"/>
    <w:link w:val="PieddepageCar"/>
    <w:uiPriority w:val="99"/>
    <w:unhideWhenUsed/>
    <w:rsid w:val="00F75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5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C706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7069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247o">
    <w:name w:val="_247o"/>
    <w:basedOn w:val="Policepardfaut"/>
    <w:rsid w:val="00C7069D"/>
  </w:style>
  <w:style w:type="paragraph" w:styleId="Textedebulles">
    <w:name w:val="Balloon Text"/>
    <w:basedOn w:val="Normal"/>
    <w:link w:val="TextedebullesCar"/>
    <w:uiPriority w:val="99"/>
    <w:semiHidden/>
    <w:unhideWhenUsed/>
    <w:rsid w:val="00C7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069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B1C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75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5B12"/>
  </w:style>
  <w:style w:type="paragraph" w:styleId="Pieddepage">
    <w:name w:val="footer"/>
    <w:basedOn w:val="Normal"/>
    <w:link w:val="PieddepageCar"/>
    <w:uiPriority w:val="99"/>
    <w:unhideWhenUsed/>
    <w:rsid w:val="00F75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5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3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8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6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5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9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0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0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5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2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96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91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4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2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8EA46-0A9B-41AC-9353-4549E4F4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Régional de la Guadeloupe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Sylvio COMPPER</dc:creator>
  <cp:lastModifiedBy>Celia GALVANI</cp:lastModifiedBy>
  <cp:revision>2</cp:revision>
  <cp:lastPrinted>2018-12-21T12:59:00Z</cp:lastPrinted>
  <dcterms:created xsi:type="dcterms:W3CDTF">2018-12-21T14:29:00Z</dcterms:created>
  <dcterms:modified xsi:type="dcterms:W3CDTF">2018-12-21T14:29:00Z</dcterms:modified>
</cp:coreProperties>
</file>